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09" w:firstLineChars="800"/>
        <w:jc w:val="left"/>
        <w:rPr>
          <w:rFonts w:hint="default"/>
          <w:b w:val="0"/>
          <w:bCs/>
          <w:sz w:val="30"/>
          <w:szCs w:val="30"/>
          <w:lang w:val="en-US" w:eastAsia="zh-CN"/>
        </w:rPr>
      </w:pPr>
      <w:r>
        <w:rPr>
          <w:rFonts w:hint="eastAsia"/>
          <w:b/>
          <w:bCs w:val="0"/>
          <w:sz w:val="30"/>
          <w:szCs w:val="30"/>
          <w:lang w:val="en-US" w:eastAsia="zh-CN"/>
        </w:rPr>
        <w:t>参加数学建模竞赛的理由</w:t>
      </w:r>
    </w:p>
    <w:p>
      <w:pPr>
        <w:rPr>
          <w:rFonts w:hint="default"/>
          <w:b/>
          <w:bCs w:val="0"/>
          <w:sz w:val="28"/>
          <w:szCs w:val="28"/>
          <w:lang w:val="en-US" w:eastAsia="zh-CN"/>
        </w:rPr>
      </w:pPr>
      <w:r>
        <w:rPr>
          <w:rFonts w:hint="eastAsia"/>
          <w:b/>
          <w:bCs w:val="0"/>
          <w:sz w:val="28"/>
          <w:szCs w:val="28"/>
          <w:lang w:val="en-US" w:eastAsia="zh-CN"/>
        </w:rPr>
        <w:t>理由一</w:t>
      </w:r>
    </w:p>
    <w:p>
      <w:pPr>
        <w:ind w:firstLine="420" w:firstLineChars="200"/>
        <w:rPr>
          <w:rFonts w:hint="eastAsia"/>
          <w:b w:val="0"/>
          <w:bCs/>
          <w:sz w:val="21"/>
          <w:szCs w:val="21"/>
          <w:lang w:val="en-US" w:eastAsia="zh-CN"/>
        </w:rPr>
      </w:pPr>
      <w:r>
        <w:rPr>
          <w:rFonts w:hint="eastAsia"/>
          <w:b w:val="0"/>
          <w:bCs/>
          <w:sz w:val="21"/>
          <w:szCs w:val="21"/>
          <w:lang w:val="en-US" w:eastAsia="zh-CN"/>
        </w:rPr>
        <w:t>大学生数学建模竞赛是综合性竞赛。 分析判断能力 、沟通协作能力、 语言表达能力、 综合运用知识解决问题能力，这些未来人才不可或缺的能力将得到锻炼与提升。</w:t>
      </w:r>
    </w:p>
    <w:p>
      <w:pPr>
        <w:rPr>
          <w:rFonts w:hint="default" w:eastAsia="宋体"/>
          <w:lang w:val="en-US" w:eastAsia="zh-CN"/>
        </w:rPr>
      </w:pPr>
      <w:r>
        <w:rPr>
          <w:rFonts w:hint="eastAsia" w:eastAsia="宋体"/>
          <w:b/>
          <w:bCs/>
          <w:sz w:val="28"/>
          <w:szCs w:val="28"/>
          <w:lang w:val="en-US" w:eastAsia="zh-CN"/>
        </w:rPr>
        <w:t>理由二</w:t>
      </w:r>
    </w:p>
    <w:p>
      <w:pPr>
        <w:rPr>
          <w:rFonts w:hint="default" w:eastAsia="宋体"/>
          <w:lang w:val="en-US" w:eastAsia="zh-CN"/>
        </w:rPr>
      </w:pPr>
      <w:r>
        <w:rPr>
          <w:rFonts w:hint="eastAsia" w:eastAsia="宋体"/>
          <w:lang w:val="en-US" w:eastAsia="zh-CN"/>
        </w:rPr>
        <w:t xml:space="preserve">    数学是各个理工科的基础。 从数学建模的角度，几乎所有的理工科竞赛都是数学建模竞赛。将数学建模应用到专业竞赛中，可提升专业竞赛水平，进而提高竞赛成绩。更重要的是数学建模将为专业的学习打开一扇门。</w:t>
      </w:r>
    </w:p>
    <w:p>
      <w:pPr>
        <w:rPr>
          <w:rFonts w:hint="default"/>
          <w:b w:val="0"/>
          <w:bCs/>
          <w:sz w:val="21"/>
          <w:szCs w:val="21"/>
          <w:lang w:val="en-US" w:eastAsia="zh-CN"/>
        </w:rPr>
      </w:pPr>
      <w:r>
        <w:rPr>
          <w:rFonts w:hint="eastAsia"/>
          <w:b/>
          <w:bCs w:val="0"/>
          <w:sz w:val="28"/>
          <w:szCs w:val="28"/>
          <w:lang w:val="en-US" w:eastAsia="zh-CN"/>
        </w:rPr>
        <w:t>理由三</w:t>
      </w:r>
      <w:bookmarkStart w:id="0" w:name="_GoBack"/>
      <w:bookmarkEnd w:id="0"/>
    </w:p>
    <w:p>
      <w:pPr>
        <w:rPr>
          <w:rFonts w:hint="default"/>
          <w:b w:val="0"/>
          <w:bCs/>
          <w:sz w:val="21"/>
          <w:szCs w:val="21"/>
          <w:lang w:val="en-US" w:eastAsia="zh-CN"/>
        </w:rPr>
      </w:pPr>
      <w:r>
        <w:rPr>
          <w:rFonts w:hint="eastAsia"/>
          <w:b w:val="0"/>
          <w:bCs/>
          <w:sz w:val="21"/>
          <w:szCs w:val="21"/>
          <w:lang w:val="en-US" w:eastAsia="zh-CN"/>
        </w:rPr>
        <w:t xml:space="preserve">    数学建模是各个领域向高端发展的关键环节，一定程度上，数学就是高科技。因此，数学建模能力越来越受到研究生导师的重视，是研究生复试中重要的加分项。同时，企业认可度日渐提高，有专业背景的数学建模人才将炙手可热。</w:t>
      </w:r>
    </w:p>
    <w:p>
      <w:pPr>
        <w:rPr>
          <w:rFonts w:hint="default"/>
          <w:b/>
          <w:bCs w:val="0"/>
          <w:sz w:val="28"/>
          <w:szCs w:val="28"/>
          <w:lang w:val="en-US" w:eastAsia="zh-CN"/>
        </w:rPr>
      </w:pPr>
      <w:r>
        <w:rPr>
          <w:rFonts w:hint="eastAsia"/>
          <w:b/>
          <w:bCs w:val="0"/>
          <w:sz w:val="28"/>
          <w:szCs w:val="28"/>
          <w:lang w:val="en-US" w:eastAsia="zh-CN"/>
        </w:rPr>
        <w:t>。。。。。。</w:t>
      </w:r>
    </w:p>
    <w:p>
      <w:pPr>
        <w:rPr>
          <w:rFonts w:hint="default"/>
          <w:b/>
          <w:sz w:val="28"/>
          <w:szCs w:val="28"/>
          <w:lang w:val="en-US" w:eastAsia="zh-CN"/>
        </w:rPr>
      </w:pPr>
    </w:p>
    <w:p>
      <w:pPr>
        <w:rPr>
          <w:rFonts w:hint="eastAsia"/>
          <w:b/>
          <w:sz w:val="28"/>
          <w:szCs w:val="28"/>
        </w:rPr>
      </w:pPr>
      <w:r>
        <w:rPr>
          <w:rFonts w:hint="eastAsia"/>
          <w:b/>
          <w:sz w:val="28"/>
          <w:szCs w:val="28"/>
        </w:rPr>
        <w:t>附录一 近</w:t>
      </w:r>
      <w:r>
        <w:rPr>
          <w:rFonts w:hint="eastAsia"/>
          <w:b/>
          <w:sz w:val="28"/>
          <w:szCs w:val="28"/>
          <w:lang w:val="en-US" w:eastAsia="zh-CN"/>
        </w:rPr>
        <w:t>六</w:t>
      </w:r>
      <w:r>
        <w:rPr>
          <w:rFonts w:hint="eastAsia"/>
          <w:b/>
          <w:sz w:val="28"/>
          <w:szCs w:val="28"/>
        </w:rPr>
        <w:t>年我们做过的省赛题目</w:t>
      </w:r>
    </w:p>
    <w:p>
      <w:pPr>
        <w:rPr>
          <w:rFonts w:hint="eastAsia" w:eastAsiaTheme="minorEastAsia"/>
          <w:b/>
          <w:sz w:val="28"/>
          <w:szCs w:val="28"/>
          <w:lang w:val="en-US" w:eastAsia="zh-CN"/>
        </w:rPr>
      </w:pPr>
      <w:r>
        <w:rPr>
          <w:rFonts w:hint="eastAsia"/>
          <w:b/>
          <w:sz w:val="28"/>
          <w:szCs w:val="28"/>
          <w:lang w:val="en-US" w:eastAsia="zh-CN"/>
        </w:rPr>
        <w:t>详见http://special.univs.cn/service/jianmo/index.shtml</w:t>
      </w:r>
    </w:p>
    <w:p>
      <w:pPr>
        <w:rPr>
          <w:rFonts w:hint="eastAsia"/>
          <w:b/>
          <w:sz w:val="28"/>
          <w:szCs w:val="28"/>
          <w:lang w:val="en-US" w:eastAsia="zh-CN"/>
        </w:rPr>
      </w:pPr>
      <w:r>
        <w:rPr>
          <w:rFonts w:hint="eastAsia"/>
          <w:b/>
          <w:sz w:val="28"/>
          <w:szCs w:val="28"/>
          <w:lang w:val="en-US" w:eastAsia="zh-CN"/>
        </w:rPr>
        <w:t>2018</w:t>
      </w:r>
    </w:p>
    <w:p>
      <w:pPr>
        <w:rPr>
          <w:rFonts w:hint="default" w:ascii="宋体" w:hAnsi="宋体" w:eastAsia="宋体"/>
          <w:sz w:val="28"/>
          <w:szCs w:val="28"/>
          <w:lang w:val="en-US" w:eastAsia="zh-CN"/>
        </w:rPr>
      </w:pPr>
      <w:r>
        <w:rPr>
          <w:rFonts w:ascii="宋体" w:hAnsi="宋体" w:eastAsia="宋体"/>
          <w:sz w:val="28"/>
          <w:szCs w:val="28"/>
        </w:rPr>
        <w:t>Ａ题</w:t>
      </w:r>
      <w:r>
        <w:rPr>
          <w:rFonts w:hint="eastAsia" w:ascii="宋体" w:hAnsi="宋体" w:eastAsia="宋体"/>
          <w:sz w:val="28"/>
          <w:szCs w:val="28"/>
        </w:rPr>
        <w:t>：</w:t>
      </w:r>
      <w:r>
        <w:rPr>
          <w:rFonts w:hint="eastAsia" w:ascii="宋体" w:hAnsi="宋体" w:eastAsia="宋体"/>
          <w:sz w:val="28"/>
          <w:szCs w:val="28"/>
          <w:lang w:val="en-US" w:eastAsia="zh-CN"/>
        </w:rPr>
        <w:t>人才吸引力评价模型研究</w:t>
      </w:r>
    </w:p>
    <w:p>
      <w:pPr>
        <w:rPr>
          <w:rFonts w:ascii="宋体" w:hAnsi="宋体" w:eastAsia="宋体"/>
          <w:sz w:val="28"/>
          <w:szCs w:val="28"/>
        </w:rPr>
      </w:pPr>
      <w:r>
        <w:rPr>
          <w:rFonts w:ascii="宋体" w:hAnsi="宋体" w:eastAsia="宋体"/>
          <w:sz w:val="28"/>
          <w:szCs w:val="28"/>
        </w:rPr>
        <w:t>B题</w:t>
      </w:r>
      <w:r>
        <w:rPr>
          <w:rFonts w:hint="eastAsia" w:ascii="宋体" w:hAnsi="宋体" w:eastAsia="宋体"/>
          <w:sz w:val="28"/>
          <w:szCs w:val="28"/>
        </w:rPr>
        <w:t>：无线回传拓扑规划</w:t>
      </w:r>
    </w:p>
    <w:p>
      <w:pPr>
        <w:rPr>
          <w:rFonts w:ascii="宋体" w:hAnsi="宋体" w:eastAsia="宋体"/>
          <w:sz w:val="28"/>
          <w:szCs w:val="28"/>
        </w:rPr>
      </w:pPr>
      <w:r>
        <w:rPr>
          <w:rFonts w:ascii="宋体" w:hAnsi="宋体" w:eastAsia="宋体"/>
          <w:sz w:val="28"/>
          <w:szCs w:val="28"/>
        </w:rPr>
        <w:t>C题</w:t>
      </w:r>
      <w:r>
        <w:rPr>
          <w:rFonts w:hint="eastAsia" w:ascii="宋体" w:hAnsi="宋体" w:eastAsia="宋体"/>
          <w:sz w:val="28"/>
          <w:szCs w:val="28"/>
        </w:rPr>
        <w:t>：人体减重机制调控模型及健康效用研究</w:t>
      </w:r>
    </w:p>
    <w:p>
      <w:pPr>
        <w:rPr>
          <w:rFonts w:hint="eastAsia" w:ascii="宋体" w:hAnsi="宋体" w:eastAsia="宋体"/>
          <w:sz w:val="28"/>
          <w:szCs w:val="28"/>
        </w:rPr>
      </w:pPr>
      <w:r>
        <w:rPr>
          <w:rFonts w:ascii="宋体" w:hAnsi="宋体" w:eastAsia="宋体"/>
          <w:sz w:val="28"/>
          <w:szCs w:val="28"/>
        </w:rPr>
        <w:t>D题</w:t>
      </w:r>
      <w:r>
        <w:rPr>
          <w:rFonts w:hint="eastAsia" w:ascii="宋体" w:hAnsi="宋体" w:eastAsia="宋体"/>
          <w:sz w:val="28"/>
          <w:szCs w:val="28"/>
        </w:rPr>
        <w:t>：基于多源监测数据的道路交通流状态重构研究</w:t>
      </w:r>
    </w:p>
    <w:p>
      <w:pPr>
        <w:rPr>
          <w:rFonts w:hint="default"/>
          <w:b/>
          <w:sz w:val="28"/>
          <w:szCs w:val="28"/>
          <w:lang w:val="en-US" w:eastAsia="zh-CN"/>
        </w:rPr>
      </w:pPr>
    </w:p>
    <w:p>
      <w:pPr>
        <w:rPr>
          <w:rFonts w:hint="eastAsia" w:ascii="宋体" w:hAnsi="宋体" w:eastAsia="宋体"/>
          <w:sz w:val="28"/>
          <w:szCs w:val="28"/>
        </w:rPr>
      </w:pPr>
      <w:r>
        <w:rPr>
          <w:rFonts w:hint="eastAsia" w:ascii="宋体" w:hAnsi="宋体" w:eastAsia="宋体"/>
          <w:sz w:val="28"/>
          <w:szCs w:val="28"/>
        </w:rPr>
        <w:t>2017</w:t>
      </w:r>
    </w:p>
    <w:p>
      <w:pPr>
        <w:rPr>
          <w:rFonts w:hint="eastAsia" w:ascii="宋体" w:hAnsi="宋体" w:eastAsia="宋体"/>
          <w:sz w:val="28"/>
          <w:szCs w:val="28"/>
        </w:rPr>
      </w:pPr>
      <w:r>
        <w:rPr>
          <w:rFonts w:ascii="宋体" w:hAnsi="宋体" w:eastAsia="宋体"/>
          <w:sz w:val="28"/>
          <w:szCs w:val="28"/>
        </w:rPr>
        <w:t>Ａ题</w:t>
      </w:r>
      <w:r>
        <w:rPr>
          <w:rFonts w:hint="eastAsia" w:ascii="宋体" w:hAnsi="宋体" w:eastAsia="宋体"/>
          <w:sz w:val="28"/>
          <w:szCs w:val="28"/>
        </w:rPr>
        <w:t>：</w:t>
      </w:r>
      <w:r>
        <w:rPr>
          <w:rFonts w:ascii="宋体" w:hAnsi="宋体" w:eastAsia="宋体"/>
          <w:sz w:val="28"/>
          <w:szCs w:val="28"/>
        </w:rPr>
        <w:t>网络侧估计终端用户视频体验建模</w:t>
      </w:r>
    </w:p>
    <w:p>
      <w:pPr>
        <w:rPr>
          <w:rFonts w:ascii="宋体" w:hAnsi="宋体" w:eastAsia="宋体"/>
          <w:sz w:val="28"/>
          <w:szCs w:val="28"/>
        </w:rPr>
      </w:pPr>
      <w:r>
        <w:rPr>
          <w:rFonts w:ascii="宋体" w:hAnsi="宋体" w:eastAsia="宋体"/>
          <w:sz w:val="28"/>
          <w:szCs w:val="28"/>
        </w:rPr>
        <w:t>B题</w:t>
      </w:r>
      <w:r>
        <w:rPr>
          <w:rFonts w:hint="eastAsia" w:ascii="宋体" w:hAnsi="宋体" w:eastAsia="宋体"/>
          <w:sz w:val="28"/>
          <w:szCs w:val="28"/>
        </w:rPr>
        <w:t>：</w:t>
      </w:r>
      <w:r>
        <w:rPr>
          <w:rFonts w:ascii="宋体" w:hAnsi="宋体" w:eastAsia="宋体"/>
          <w:sz w:val="28"/>
          <w:szCs w:val="28"/>
        </w:rPr>
        <w:t>ATM交易状态特征分析与异常检测</w:t>
      </w:r>
    </w:p>
    <w:p>
      <w:pPr>
        <w:rPr>
          <w:rFonts w:ascii="宋体" w:hAnsi="宋体" w:eastAsia="宋体"/>
          <w:sz w:val="28"/>
          <w:szCs w:val="28"/>
        </w:rPr>
      </w:pPr>
      <w:r>
        <w:rPr>
          <w:rFonts w:ascii="宋体" w:hAnsi="宋体" w:eastAsia="宋体"/>
          <w:sz w:val="28"/>
          <w:szCs w:val="28"/>
        </w:rPr>
        <w:t>C题</w:t>
      </w:r>
      <w:r>
        <w:rPr>
          <w:rFonts w:hint="eastAsia" w:ascii="宋体" w:hAnsi="宋体" w:eastAsia="宋体"/>
          <w:sz w:val="28"/>
          <w:szCs w:val="28"/>
        </w:rPr>
        <w:t>：</w:t>
      </w:r>
      <w:r>
        <w:rPr>
          <w:rFonts w:ascii="宋体" w:hAnsi="宋体" w:eastAsia="宋体"/>
          <w:sz w:val="28"/>
          <w:szCs w:val="28"/>
        </w:rPr>
        <w:t>深圳市生活垃圾处理社会总成本分析</w:t>
      </w:r>
    </w:p>
    <w:p>
      <w:pPr>
        <w:rPr>
          <w:rFonts w:hint="eastAsia" w:ascii="宋体" w:hAnsi="宋体" w:eastAsia="宋体"/>
          <w:sz w:val="28"/>
          <w:szCs w:val="28"/>
        </w:rPr>
      </w:pPr>
      <w:r>
        <w:rPr>
          <w:rFonts w:ascii="宋体" w:hAnsi="宋体" w:eastAsia="宋体"/>
          <w:sz w:val="28"/>
          <w:szCs w:val="28"/>
        </w:rPr>
        <w:t>D题</w:t>
      </w:r>
      <w:r>
        <w:rPr>
          <w:rFonts w:hint="eastAsia" w:ascii="宋体" w:hAnsi="宋体" w:eastAsia="宋体"/>
          <w:sz w:val="28"/>
          <w:szCs w:val="28"/>
        </w:rPr>
        <w:t>：</w:t>
      </w:r>
      <w:r>
        <w:rPr>
          <w:rFonts w:ascii="宋体" w:hAnsi="宋体" w:eastAsia="宋体"/>
          <w:sz w:val="28"/>
          <w:szCs w:val="28"/>
        </w:rPr>
        <w:t>深圳蔬菜安全风险评估与抽样检验方案设计</w:t>
      </w:r>
    </w:p>
    <w:p>
      <w:pPr>
        <w:rPr>
          <w:rFonts w:hint="eastAsia" w:ascii="宋体" w:hAnsi="宋体" w:cs="Arial"/>
          <w:b/>
          <w:bCs/>
          <w:color w:val="333333"/>
          <w:sz w:val="32"/>
          <w:szCs w:val="27"/>
        </w:rPr>
      </w:pPr>
      <w:r>
        <w:rPr>
          <w:rFonts w:hint="eastAsia" w:ascii="宋体" w:hAnsi="宋体" w:eastAsia="宋体"/>
          <w:sz w:val="28"/>
          <w:szCs w:val="28"/>
        </w:rPr>
        <w:t>2016：</w:t>
      </w:r>
    </w:p>
    <w:p>
      <w:pPr>
        <w:rPr>
          <w:rFonts w:ascii="宋体" w:hAnsi="宋体" w:eastAsia="宋体"/>
          <w:sz w:val="28"/>
          <w:szCs w:val="28"/>
        </w:rPr>
      </w:pPr>
      <w:r>
        <w:rPr>
          <w:rFonts w:hint="eastAsia" w:ascii="宋体" w:hAnsi="宋体" w:eastAsia="宋体"/>
          <w:sz w:val="28"/>
          <w:szCs w:val="28"/>
        </w:rPr>
        <w:t>A题：“截排”vs“清源”</w:t>
      </w:r>
    </w:p>
    <w:p>
      <w:pPr>
        <w:rPr>
          <w:rFonts w:ascii="宋体" w:hAnsi="宋体" w:eastAsia="宋体"/>
          <w:sz w:val="28"/>
          <w:szCs w:val="28"/>
        </w:rPr>
      </w:pPr>
      <w:r>
        <w:rPr>
          <w:rFonts w:hint="eastAsia" w:ascii="宋体" w:hAnsi="宋体" w:eastAsia="宋体"/>
          <w:sz w:val="28"/>
          <w:szCs w:val="28"/>
        </w:rPr>
        <w:t>B题：垃圾焚烧厂布袋式除尘系统运行稳定性分析</w:t>
      </w:r>
    </w:p>
    <w:p>
      <w:pPr>
        <w:rPr>
          <w:rFonts w:ascii="宋体" w:hAnsi="宋体" w:eastAsia="宋体"/>
          <w:sz w:val="28"/>
          <w:szCs w:val="28"/>
        </w:rPr>
      </w:pPr>
      <w:r>
        <w:rPr>
          <w:rFonts w:hint="eastAsia" w:ascii="宋体" w:hAnsi="宋体" w:eastAsia="宋体"/>
          <w:sz w:val="28"/>
          <w:szCs w:val="28"/>
        </w:rPr>
        <w:t>C题：“禁摩限电”效果综合分析问题</w:t>
      </w:r>
    </w:p>
    <w:p>
      <w:pPr>
        <w:rPr>
          <w:rFonts w:ascii="宋体" w:hAnsi="宋体" w:eastAsia="宋体"/>
          <w:sz w:val="28"/>
          <w:szCs w:val="28"/>
        </w:rPr>
      </w:pPr>
      <w:r>
        <w:rPr>
          <w:rFonts w:hint="eastAsia" w:ascii="宋体" w:hAnsi="宋体" w:eastAsia="宋体"/>
          <w:sz w:val="28"/>
          <w:szCs w:val="28"/>
        </w:rPr>
        <w:t>D题：代谢综合症风险、趋势预测和干预模型的构建</w:t>
      </w:r>
    </w:p>
    <w:p>
      <w:pPr>
        <w:rPr>
          <w:rFonts w:ascii="宋体" w:hAnsi="宋体" w:eastAsia="宋体"/>
          <w:sz w:val="28"/>
          <w:szCs w:val="28"/>
        </w:rPr>
      </w:pPr>
      <w:r>
        <w:rPr>
          <w:rFonts w:hint="eastAsia" w:ascii="宋体" w:hAnsi="宋体" w:eastAsia="宋体"/>
          <w:sz w:val="28"/>
          <w:szCs w:val="28"/>
        </w:rPr>
        <w:t>2015：</w:t>
      </w:r>
    </w:p>
    <w:p>
      <w:pPr>
        <w:rPr>
          <w:rFonts w:ascii="宋体" w:hAnsi="宋体" w:eastAsia="宋体"/>
          <w:sz w:val="28"/>
          <w:szCs w:val="28"/>
        </w:rPr>
      </w:pPr>
      <w:r>
        <w:rPr>
          <w:rFonts w:hint="eastAsia" w:ascii="宋体" w:hAnsi="宋体" w:eastAsia="宋体"/>
          <w:sz w:val="28"/>
          <w:szCs w:val="28"/>
        </w:rPr>
        <w:t>A题：</w:t>
      </w:r>
      <w:r>
        <w:rPr>
          <w:rFonts w:ascii="宋体" w:hAnsi="宋体" w:eastAsia="宋体"/>
          <w:sz w:val="28"/>
          <w:szCs w:val="28"/>
        </w:rPr>
        <w:t>医保欺诈行为的主动发现</w:t>
      </w:r>
    </w:p>
    <w:p>
      <w:pPr>
        <w:rPr>
          <w:rFonts w:ascii="宋体" w:hAnsi="宋体" w:eastAsia="宋体"/>
          <w:sz w:val="28"/>
          <w:szCs w:val="28"/>
        </w:rPr>
      </w:pPr>
      <w:r>
        <w:rPr>
          <w:rFonts w:hint="eastAsia" w:ascii="宋体" w:hAnsi="宋体" w:eastAsia="宋体"/>
          <w:sz w:val="28"/>
          <w:szCs w:val="28"/>
        </w:rPr>
        <w:t>B题：DNA序列的k-mer index 问题</w:t>
      </w:r>
    </w:p>
    <w:p>
      <w:pPr>
        <w:rPr>
          <w:rFonts w:ascii="宋体" w:hAnsi="宋体" w:eastAsia="宋体" w:cs="Times New Roman"/>
          <w:sz w:val="28"/>
          <w:szCs w:val="28"/>
        </w:rPr>
      </w:pPr>
      <w:r>
        <w:rPr>
          <w:rFonts w:hint="eastAsia" w:ascii="宋体" w:hAnsi="宋体" w:eastAsia="宋体" w:cs="Times New Roman"/>
          <w:sz w:val="28"/>
          <w:szCs w:val="28"/>
        </w:rPr>
        <w:t>C题：红树林自然保护区湿地生态系统模型框架构建及应用实例研究</w:t>
      </w:r>
    </w:p>
    <w:p>
      <w:pPr>
        <w:rPr>
          <w:rFonts w:ascii="宋体" w:hAnsi="宋体" w:eastAsia="宋体" w:cs="Times New Roman"/>
          <w:sz w:val="28"/>
          <w:szCs w:val="28"/>
        </w:rPr>
      </w:pPr>
      <w:r>
        <w:rPr>
          <w:rFonts w:hint="eastAsia" w:ascii="宋体" w:hAnsi="宋体" w:eastAsia="宋体" w:cs="Times New Roman"/>
          <w:sz w:val="28"/>
          <w:szCs w:val="28"/>
        </w:rPr>
        <w:t>D题</w:t>
      </w:r>
      <w:r>
        <w:rPr>
          <w:rFonts w:hint="eastAsia" w:ascii="宋体" w:hAnsi="宋体" w:eastAsia="宋体"/>
          <w:sz w:val="28"/>
          <w:szCs w:val="28"/>
        </w:rPr>
        <w:t>：</w:t>
      </w:r>
      <w:r>
        <w:rPr>
          <w:rFonts w:hint="eastAsia" w:ascii="宋体" w:hAnsi="宋体" w:eastAsia="宋体" w:cs="Times New Roman"/>
          <w:sz w:val="28"/>
          <w:szCs w:val="28"/>
        </w:rPr>
        <w:t>航班延误问题</w:t>
      </w:r>
    </w:p>
    <w:p>
      <w:pPr>
        <w:rPr>
          <w:rFonts w:ascii="宋体" w:hAnsi="宋体" w:eastAsia="宋体"/>
          <w:sz w:val="28"/>
          <w:szCs w:val="28"/>
        </w:rPr>
      </w:pPr>
      <w:r>
        <w:rPr>
          <w:rFonts w:hint="eastAsia" w:ascii="宋体" w:hAnsi="宋体" w:eastAsia="宋体"/>
          <w:sz w:val="28"/>
          <w:szCs w:val="28"/>
        </w:rPr>
        <w:t>2014：</w:t>
      </w:r>
    </w:p>
    <w:p>
      <w:pPr>
        <w:rPr>
          <w:rFonts w:ascii="宋体" w:hAnsi="宋体" w:eastAsia="宋体" w:cs="Times New Roman"/>
          <w:bCs/>
          <w:sz w:val="28"/>
          <w:szCs w:val="28"/>
        </w:rPr>
      </w:pPr>
      <w:r>
        <w:rPr>
          <w:rFonts w:ascii="宋体" w:hAnsi="宋体" w:eastAsia="宋体" w:cs="Times New Roman"/>
          <w:bCs/>
          <w:sz w:val="28"/>
          <w:szCs w:val="28"/>
        </w:rPr>
        <w:t>A题</w:t>
      </w:r>
      <w:r>
        <w:rPr>
          <w:rFonts w:hint="eastAsia" w:ascii="宋体" w:hAnsi="宋体" w:eastAsia="宋体" w:cs="Times New Roman"/>
          <w:bCs/>
          <w:sz w:val="28"/>
          <w:szCs w:val="28"/>
        </w:rPr>
        <w:t>：</w:t>
      </w:r>
      <w:r>
        <w:rPr>
          <w:rFonts w:ascii="宋体" w:hAnsi="宋体" w:eastAsia="宋体" w:cs="Times New Roman"/>
          <w:bCs/>
          <w:sz w:val="28"/>
          <w:szCs w:val="28"/>
        </w:rPr>
        <w:t>计划生育政策调整对人口数量</w:t>
      </w:r>
      <w:r>
        <w:rPr>
          <w:rFonts w:hint="eastAsia" w:ascii="宋体" w:hAnsi="宋体" w:eastAsia="宋体" w:cs="Times New Roman"/>
          <w:bCs/>
          <w:sz w:val="28"/>
          <w:szCs w:val="28"/>
        </w:rPr>
        <w:t>、结构及其</w:t>
      </w:r>
      <w:r>
        <w:rPr>
          <w:rFonts w:ascii="宋体" w:hAnsi="宋体" w:eastAsia="宋体" w:cs="Times New Roman"/>
          <w:bCs/>
          <w:sz w:val="28"/>
          <w:szCs w:val="28"/>
        </w:rPr>
        <w:t>影响</w:t>
      </w:r>
      <w:r>
        <w:rPr>
          <w:rFonts w:hint="eastAsia" w:ascii="宋体" w:hAnsi="宋体" w:eastAsia="宋体" w:cs="Times New Roman"/>
          <w:bCs/>
          <w:sz w:val="28"/>
          <w:szCs w:val="28"/>
        </w:rPr>
        <w:t>的研究</w:t>
      </w:r>
    </w:p>
    <w:p>
      <w:pPr>
        <w:pStyle w:val="2"/>
        <w:rPr>
          <w:rFonts w:hAnsi="宋体"/>
          <w:sz w:val="28"/>
          <w:szCs w:val="28"/>
        </w:rPr>
      </w:pPr>
      <w:r>
        <w:rPr>
          <w:rFonts w:hint="eastAsia" w:hAnsi="宋体"/>
          <w:sz w:val="28"/>
          <w:szCs w:val="28"/>
        </w:rPr>
        <w:t>B题：基因组组装</w:t>
      </w:r>
    </w:p>
    <w:p>
      <w:pPr>
        <w:rPr>
          <w:rFonts w:ascii="宋体" w:hAnsi="宋体" w:eastAsia="宋体" w:cs="Times New Roman"/>
          <w:sz w:val="28"/>
          <w:szCs w:val="28"/>
        </w:rPr>
      </w:pPr>
      <w:r>
        <w:rPr>
          <w:rFonts w:ascii="宋体" w:hAnsi="宋体" w:eastAsia="宋体" w:cs="Times New Roman"/>
          <w:sz w:val="28"/>
          <w:szCs w:val="28"/>
        </w:rPr>
        <w:t>C题</w:t>
      </w:r>
      <w:r>
        <w:rPr>
          <w:rFonts w:hint="eastAsia" w:ascii="宋体" w:hAnsi="宋体" w:eastAsia="宋体" w:cs="Times New Roman"/>
          <w:sz w:val="28"/>
          <w:szCs w:val="28"/>
        </w:rPr>
        <w:t>：垃圾焚烧厂的经济补偿问题</w:t>
      </w:r>
    </w:p>
    <w:p>
      <w:pPr>
        <w:rPr>
          <w:rFonts w:ascii="宋体" w:hAnsi="宋体" w:eastAsia="宋体" w:cs="Times New Roman"/>
          <w:bCs/>
          <w:sz w:val="28"/>
          <w:szCs w:val="28"/>
        </w:rPr>
      </w:pPr>
      <w:r>
        <w:rPr>
          <w:rFonts w:ascii="宋体" w:hAnsi="宋体" w:eastAsia="宋体" w:cs="Times New Roman"/>
          <w:bCs/>
          <w:sz w:val="28"/>
          <w:szCs w:val="28"/>
        </w:rPr>
        <w:t>D题</w:t>
      </w:r>
      <w:r>
        <w:rPr>
          <w:rFonts w:hint="eastAsia" w:ascii="宋体" w:hAnsi="宋体" w:eastAsia="宋体" w:cs="Times New Roman"/>
          <w:bCs/>
          <w:sz w:val="28"/>
          <w:szCs w:val="28"/>
        </w:rPr>
        <w:t>：</w:t>
      </w:r>
      <w:r>
        <w:rPr>
          <w:rFonts w:ascii="宋体" w:hAnsi="宋体" w:eastAsia="宋体" w:cs="Times New Roman"/>
          <w:sz w:val="28"/>
          <w:szCs w:val="28"/>
        </w:rPr>
        <w:t>以深圳市为例探讨洪灾损失预测研究的科学性与严谨性</w:t>
      </w:r>
    </w:p>
    <w:p>
      <w:pPr>
        <w:rPr>
          <w:rFonts w:ascii="宋体" w:hAnsi="宋体" w:eastAsia="宋体"/>
          <w:sz w:val="28"/>
          <w:szCs w:val="28"/>
        </w:rPr>
      </w:pPr>
      <w:r>
        <w:rPr>
          <w:rFonts w:hint="eastAsia" w:ascii="宋体" w:hAnsi="宋体" w:eastAsia="宋体"/>
          <w:sz w:val="28"/>
          <w:szCs w:val="28"/>
        </w:rPr>
        <w:t>2013：</w:t>
      </w:r>
    </w:p>
    <w:p>
      <w:pPr>
        <w:rPr>
          <w:rFonts w:ascii="宋体" w:hAnsi="宋体" w:eastAsia="宋体" w:cs="Times New Roman"/>
          <w:bCs/>
          <w:color w:val="000000"/>
          <w:sz w:val="28"/>
          <w:szCs w:val="28"/>
        </w:rPr>
      </w:pPr>
      <w:r>
        <w:rPr>
          <w:rFonts w:hint="eastAsia" w:ascii="宋体" w:hAnsi="宋体" w:eastAsia="宋体" w:cs="Times New Roman"/>
          <w:bCs/>
          <w:color w:val="000000"/>
          <w:sz w:val="28"/>
          <w:szCs w:val="28"/>
        </w:rPr>
        <w:t>A题：食品质量安全抽检数据分析</w:t>
      </w:r>
    </w:p>
    <w:p>
      <w:pPr>
        <w:spacing w:line="360" w:lineRule="auto"/>
        <w:rPr>
          <w:rFonts w:ascii="宋体" w:hAnsi="宋体" w:eastAsia="宋体" w:cs="Times New Roman"/>
          <w:bCs/>
          <w:color w:val="000000"/>
          <w:sz w:val="28"/>
          <w:szCs w:val="28"/>
        </w:rPr>
      </w:pPr>
      <w:r>
        <w:rPr>
          <w:rFonts w:hint="eastAsia" w:ascii="宋体" w:hAnsi="宋体" w:eastAsia="宋体" w:cs="Times New Roman"/>
          <w:bCs/>
          <w:color w:val="000000"/>
          <w:sz w:val="28"/>
          <w:szCs w:val="28"/>
        </w:rPr>
        <w:t>B题：深圳关内外交通拥堵探究与治理</w:t>
      </w:r>
    </w:p>
    <w:p>
      <w:pPr>
        <w:rPr>
          <w:rFonts w:ascii="宋体" w:hAnsi="宋体" w:eastAsia="宋体" w:cs="Times New Roman"/>
          <w:bCs/>
          <w:color w:val="000000"/>
          <w:sz w:val="28"/>
          <w:szCs w:val="28"/>
        </w:rPr>
      </w:pPr>
      <w:r>
        <w:rPr>
          <w:rFonts w:hint="eastAsia" w:ascii="宋体" w:hAnsi="宋体" w:eastAsia="宋体" w:cs="Times New Roman"/>
          <w:bCs/>
          <w:color w:val="000000"/>
          <w:sz w:val="28"/>
          <w:szCs w:val="28"/>
        </w:rPr>
        <w:t>C题：垃圾减量分类活动中社会及个体因素量化分析</w:t>
      </w:r>
    </w:p>
    <w:p>
      <w:pPr>
        <w:rPr>
          <w:rFonts w:ascii="宋体" w:hAnsi="宋体" w:eastAsia="宋体" w:cs="Times New Roman"/>
          <w:bCs/>
          <w:color w:val="000000"/>
          <w:sz w:val="28"/>
          <w:szCs w:val="28"/>
        </w:rPr>
      </w:pPr>
      <w:r>
        <w:rPr>
          <w:rFonts w:hint="eastAsia" w:ascii="宋体" w:hAnsi="宋体" w:eastAsia="宋体" w:cs="Times New Roman"/>
          <w:bCs/>
          <w:color w:val="000000"/>
          <w:sz w:val="28"/>
          <w:szCs w:val="28"/>
        </w:rPr>
        <w:t>D题：自然灾害保险问题的研究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eastAsia="宋体" w:cs="宋体"/>
          <w:b/>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eastAsia="宋体" w:cs="宋体"/>
          <w:b/>
          <w:kern w:val="0"/>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eastAsia="宋体" w:cs="宋体"/>
          <w:b/>
          <w:kern w:val="0"/>
          <w:sz w:val="28"/>
          <w:szCs w:val="28"/>
        </w:rPr>
      </w:pPr>
    </w:p>
    <w:p>
      <w:pPr>
        <w:rPr>
          <w:b/>
        </w:rPr>
      </w:pPr>
      <w:r>
        <w:rPr>
          <w:rFonts w:hint="eastAsia"/>
          <w:b/>
          <w:sz w:val="28"/>
          <w:szCs w:val="28"/>
        </w:rPr>
        <w:t>附录二</w:t>
      </w:r>
      <w:r>
        <w:rPr>
          <w:rFonts w:hint="eastAsia"/>
          <w:b/>
        </w:rPr>
        <w:t xml:space="preserve"> </w:t>
      </w:r>
      <w:r>
        <w:rPr>
          <w:rFonts w:hint="eastAsia"/>
          <w:b/>
          <w:sz w:val="28"/>
          <w:szCs w:val="28"/>
        </w:rPr>
        <w:t>全国大学生数学建模竞赛简介</w:t>
      </w:r>
    </w:p>
    <w:p/>
    <w:p>
      <w:pPr>
        <w:numPr>
          <w:ilvl w:val="0"/>
          <w:numId w:val="1"/>
        </w:numPr>
        <w:rPr>
          <w:rFonts w:hint="eastAsia"/>
        </w:rPr>
      </w:pPr>
      <w:r>
        <w:rPr>
          <w:rFonts w:hint="eastAsia"/>
        </w:rPr>
        <w:t>竞赛介绍</w:t>
      </w:r>
    </w:p>
    <w:p>
      <w:pPr>
        <w:numPr>
          <w:ilvl w:val="0"/>
          <w:numId w:val="0"/>
        </w:numPr>
        <w:rPr>
          <w:rFonts w:hint="eastAsia"/>
        </w:rPr>
      </w:pPr>
    </w:p>
    <w:p>
      <w:pPr>
        <w:numPr>
          <w:ilvl w:val="0"/>
          <w:numId w:val="0"/>
        </w:numPr>
        <w:rPr>
          <w:rFonts w:ascii="Arial" w:hAnsi="Arial" w:eastAsia="宋体" w:cs="Arial"/>
          <w:color w:val="013460"/>
          <w:kern w:val="0"/>
          <w:sz w:val="18"/>
          <w:szCs w:val="18"/>
          <w:shd w:val="clear" w:color="auto" w:fill="FFFFFF"/>
        </w:rPr>
      </w:pPr>
      <w:r>
        <w:rPr>
          <w:rFonts w:hint="eastAsia" w:ascii="Arial" w:hAnsi="Arial" w:cs="Arial"/>
          <w:color w:val="013460"/>
          <w:kern w:val="0"/>
          <w:sz w:val="18"/>
          <w:szCs w:val="18"/>
          <w:shd w:val="clear" w:color="auto" w:fill="FFFFFF"/>
        </w:rPr>
        <w:t xml:space="preserve">    </w:t>
      </w:r>
      <w:r>
        <w:rPr>
          <w:rFonts w:ascii="Arial" w:hAnsi="Arial" w:cs="Arial"/>
          <w:color w:val="333333"/>
          <w:sz w:val="21"/>
          <w:szCs w:val="21"/>
        </w:rPr>
        <w:t>全国大学生数学建模竞赛创办于1992年，每年一届，</w:t>
      </w:r>
      <w:r>
        <w:rPr>
          <w:rFonts w:hint="eastAsia" w:ascii="Arial" w:hAnsi="Arial" w:cs="Arial"/>
          <w:color w:val="333333"/>
          <w:sz w:val="21"/>
          <w:szCs w:val="21"/>
          <w:lang w:val="en-US" w:eastAsia="zh-CN"/>
        </w:rPr>
        <w:t>由</w:t>
      </w:r>
      <w:r>
        <w:rPr>
          <w:rFonts w:hint="eastAsia"/>
          <w:lang w:val="en-US" w:eastAsia="zh-CN"/>
        </w:rPr>
        <w:t>教育部高教司主办，中国工业与应用数学学会承办的全国性竞赛，是我校A类竞赛之一。</w:t>
      </w:r>
      <w:r>
        <w:rPr>
          <w:rFonts w:ascii="Arial" w:hAnsi="Arial" w:eastAsia="宋体" w:cs="Arial"/>
          <w:b w:val="0"/>
          <w:i w:val="0"/>
          <w:caps w:val="0"/>
          <w:color w:val="013460"/>
          <w:spacing w:val="0"/>
          <w:sz w:val="21"/>
          <w:szCs w:val="21"/>
          <w:shd w:val="clear" w:fill="FFFFFF"/>
        </w:rPr>
        <w:t>是首批列入</w:t>
      </w:r>
      <w:r>
        <w:rPr>
          <w:rFonts w:hint="default" w:ascii="Arial" w:hAnsi="Arial" w:eastAsia="宋体" w:cs="Arial"/>
          <w:b w:val="0"/>
          <w:i w:val="0"/>
          <w:caps w:val="0"/>
          <w:color w:val="277CC3"/>
          <w:spacing w:val="0"/>
          <w:sz w:val="21"/>
          <w:szCs w:val="21"/>
          <w:u w:val="none"/>
          <w:shd w:val="clear" w:fill="FFFFFF"/>
        </w:rPr>
        <w:fldChar w:fldCharType="begin"/>
      </w:r>
      <w:r>
        <w:rPr>
          <w:rFonts w:hint="default" w:ascii="Arial" w:hAnsi="Arial" w:eastAsia="宋体" w:cs="Arial"/>
          <w:b w:val="0"/>
          <w:i w:val="0"/>
          <w:caps w:val="0"/>
          <w:color w:val="277CC3"/>
          <w:spacing w:val="0"/>
          <w:sz w:val="21"/>
          <w:szCs w:val="21"/>
          <w:u w:val="none"/>
          <w:shd w:val="clear" w:fill="FFFFFF"/>
        </w:rPr>
        <w:instrText xml:space="preserve"> HYPERLINK "http://rank.moocollege.com/" </w:instrText>
      </w:r>
      <w:r>
        <w:rPr>
          <w:rFonts w:hint="default" w:ascii="Arial" w:hAnsi="Arial" w:eastAsia="宋体" w:cs="Arial"/>
          <w:b w:val="0"/>
          <w:i w:val="0"/>
          <w:caps w:val="0"/>
          <w:color w:val="277CC3"/>
          <w:spacing w:val="0"/>
          <w:sz w:val="21"/>
          <w:szCs w:val="21"/>
          <w:u w:val="none"/>
          <w:shd w:val="clear" w:fill="FFFFFF"/>
        </w:rPr>
        <w:fldChar w:fldCharType="separate"/>
      </w:r>
      <w:r>
        <w:rPr>
          <w:rStyle w:val="5"/>
          <w:rFonts w:hint="default" w:ascii="Arial" w:hAnsi="Arial" w:eastAsia="宋体" w:cs="Arial"/>
          <w:b/>
          <w:i w:val="0"/>
          <w:caps w:val="0"/>
          <w:color w:val="277CC3"/>
          <w:spacing w:val="0"/>
          <w:sz w:val="21"/>
          <w:szCs w:val="21"/>
          <w:u w:val="none"/>
          <w:shd w:val="clear" w:fill="FFFFFF"/>
        </w:rPr>
        <w:t>“大学学科竞赛排行榜”</w:t>
      </w:r>
      <w:r>
        <w:rPr>
          <w:rFonts w:hint="default" w:ascii="Arial" w:hAnsi="Arial" w:eastAsia="宋体" w:cs="Arial"/>
          <w:b w:val="0"/>
          <w:i w:val="0"/>
          <w:caps w:val="0"/>
          <w:color w:val="277CC3"/>
          <w:spacing w:val="0"/>
          <w:sz w:val="21"/>
          <w:szCs w:val="21"/>
          <w:u w:val="none"/>
          <w:shd w:val="clear" w:fill="FFFFFF"/>
        </w:rPr>
        <w:fldChar w:fldCharType="end"/>
      </w:r>
      <w:r>
        <w:rPr>
          <w:rFonts w:hint="default" w:ascii="Arial" w:hAnsi="Arial" w:eastAsia="宋体" w:cs="Arial"/>
          <w:b w:val="0"/>
          <w:i w:val="0"/>
          <w:caps w:val="0"/>
          <w:color w:val="013460"/>
          <w:spacing w:val="0"/>
          <w:sz w:val="21"/>
          <w:szCs w:val="21"/>
          <w:shd w:val="clear" w:fill="FFFFFF"/>
        </w:rPr>
        <w:t>的19项竞赛之一</w:t>
      </w:r>
      <w:r>
        <w:rPr>
          <w:rFonts w:hint="eastAsia" w:ascii="Arial" w:hAnsi="Arial" w:eastAsia="宋体" w:cs="Arial"/>
          <w:b w:val="0"/>
          <w:i w:val="0"/>
          <w:caps w:val="0"/>
          <w:color w:val="013460"/>
          <w:spacing w:val="0"/>
          <w:sz w:val="21"/>
          <w:szCs w:val="21"/>
          <w:shd w:val="clear" w:fill="FFFFFF"/>
          <w:lang w:eastAsia="zh-CN"/>
        </w:rPr>
        <w:t>。</w:t>
      </w:r>
      <w:r>
        <w:rPr>
          <w:rFonts w:ascii="Arial" w:hAnsi="Arial" w:cs="Arial"/>
          <w:color w:val="FF0000"/>
          <w:sz w:val="21"/>
          <w:szCs w:val="21"/>
        </w:rPr>
        <w:t>目前已成为全国高校规模最大的基础性学科竞赛，也是世界上规模最大的数学建模竞赛。</w:t>
      </w:r>
      <w:r>
        <w:rPr>
          <w:rFonts w:hint="default" w:ascii="Arial" w:hAnsi="Arial" w:eastAsia="宋体" w:cs="Arial"/>
          <w:b w:val="0"/>
          <w:i w:val="0"/>
          <w:caps w:val="0"/>
          <w:color w:val="013460"/>
          <w:spacing w:val="0"/>
          <w:sz w:val="21"/>
          <w:szCs w:val="21"/>
          <w:shd w:val="clear" w:fill="FFFFFF"/>
        </w:rPr>
        <w:t>2018年，来自全国及美国和新加坡的1449所院校/校区、42128队(本科38573队、专科3555队)、超过12万人报名参赛。</w:t>
      </w:r>
    </w:p>
    <w:p>
      <w:pPr>
        <w:numPr>
          <w:ilvl w:val="0"/>
          <w:numId w:val="0"/>
        </w:numPr>
        <w:rPr>
          <w:rFonts w:hint="default"/>
          <w:lang w:val="en-US"/>
        </w:rPr>
      </w:pPr>
      <w:r>
        <w:rPr>
          <w:rFonts w:hint="eastAsia"/>
          <w:lang w:val="en-US" w:eastAsia="zh-CN"/>
        </w:rPr>
        <w:t xml:space="preserve">    </w:t>
      </w:r>
    </w:p>
    <w:p>
      <w:pPr>
        <w:numPr>
          <w:ilvl w:val="0"/>
          <w:numId w:val="2"/>
        </w:numPr>
        <w:rPr>
          <w:rFonts w:hint="eastAsia"/>
        </w:rPr>
      </w:pPr>
      <w:r>
        <w:rPr>
          <w:rFonts w:hint="eastAsia"/>
        </w:rPr>
        <w:t>竞赛形式</w:t>
      </w:r>
    </w:p>
    <w:p>
      <w:pPr>
        <w:numPr>
          <w:ilvl w:val="0"/>
          <w:numId w:val="0"/>
        </w:numPr>
        <w:rPr>
          <w:rFonts w:hint="eastAsia"/>
        </w:rPr>
      </w:pPr>
    </w:p>
    <w:p>
      <w:pPr>
        <w:ind w:firstLine="420"/>
        <w:rPr>
          <w:rFonts w:hint="eastAsia"/>
        </w:rPr>
      </w:pPr>
      <w:r>
        <w:rPr>
          <w:rFonts w:hint="eastAsia"/>
        </w:rPr>
        <w:t>每年九月上旬的一个周</w:t>
      </w:r>
      <w:r>
        <w:rPr>
          <w:rFonts w:hint="eastAsia"/>
          <w:lang w:val="en-US" w:eastAsia="zh-CN"/>
        </w:rPr>
        <w:t>四晚上</w:t>
      </w:r>
      <w:r>
        <w:rPr>
          <w:rFonts w:hint="eastAsia"/>
        </w:rPr>
        <w:t>8:00发布赛题三人为一个参赛队连续三天72小时开放式答题 、以论文形式提交答案。</w:t>
      </w:r>
    </w:p>
    <w:p>
      <w:pPr>
        <w:ind w:firstLine="420"/>
        <w:rPr>
          <w:rFonts w:hint="eastAsia"/>
        </w:rPr>
      </w:pPr>
    </w:p>
    <w:p>
      <w:pPr>
        <w:numPr>
          <w:ilvl w:val="0"/>
          <w:numId w:val="2"/>
        </w:numPr>
        <w:ind w:left="0" w:leftChars="0" w:firstLine="0" w:firstLineChars="0"/>
        <w:rPr>
          <w:rFonts w:hint="eastAsia"/>
          <w:lang w:val="en-US" w:eastAsia="zh-CN"/>
        </w:rPr>
      </w:pPr>
      <w:r>
        <w:rPr>
          <w:rFonts w:hint="eastAsia"/>
          <w:lang w:val="en-US" w:eastAsia="zh-CN"/>
        </w:rPr>
        <w:t>历年题目</w:t>
      </w:r>
    </w:p>
    <w:p>
      <w:pPr>
        <w:numPr>
          <w:ilvl w:val="0"/>
          <w:numId w:val="0"/>
        </w:numPr>
        <w:ind w:leftChars="0"/>
        <w:rPr>
          <w:rFonts w:hint="eastAsia"/>
          <w:lang w:val="en-US" w:eastAsia="zh-CN"/>
        </w:rPr>
      </w:pPr>
      <w:r>
        <w:rPr>
          <w:rFonts w:hint="eastAsia"/>
          <w:lang w:val="en-US" w:eastAsia="zh-CN"/>
        </w:rPr>
        <w:t xml:space="preserve">    </w:t>
      </w:r>
    </w:p>
    <w:p>
      <w:pPr>
        <w:numPr>
          <w:ilvl w:val="0"/>
          <w:numId w:val="0"/>
        </w:numPr>
        <w:ind w:firstLine="420" w:firstLineChars="200"/>
        <w:rPr>
          <w:rFonts w:hint="default"/>
          <w:lang w:val="en-US" w:eastAsia="zh-CN"/>
        </w:rPr>
      </w:pPr>
      <w:r>
        <w:rPr>
          <w:rFonts w:hint="eastAsia"/>
          <w:lang w:val="en-US" w:eastAsia="zh-CN"/>
        </w:rPr>
        <w:t>详见http://special.univs.cn/service/jianmo/sxjmtmhb/index.shtml</w:t>
      </w:r>
    </w:p>
    <w:tbl>
      <w:tblPr>
        <w:tblStyle w:val="3"/>
        <w:tblpPr w:leftFromText="180" w:rightFromText="180" w:vertAnchor="text" w:horzAnchor="page" w:tblpX="2491" w:tblpY="475"/>
        <w:tblOverlap w:val="never"/>
        <w:tblW w:w="8315" w:type="dxa"/>
        <w:tblInd w:w="0" w:type="dxa"/>
        <w:shd w:val="clear" w:color="auto" w:fill="auto"/>
        <w:tblLayout w:type="fixed"/>
        <w:tblCellMar>
          <w:top w:w="0" w:type="dxa"/>
          <w:left w:w="0" w:type="dxa"/>
          <w:bottom w:w="0" w:type="dxa"/>
          <w:right w:w="0" w:type="dxa"/>
        </w:tblCellMar>
      </w:tblPr>
      <w:tblGrid>
        <w:gridCol w:w="498"/>
        <w:gridCol w:w="240"/>
        <w:gridCol w:w="3285"/>
        <w:gridCol w:w="4292"/>
      </w:tblGrid>
      <w:tr>
        <w:tblPrEx>
          <w:tblLayout w:type="fixed"/>
          <w:tblCellMar>
            <w:top w:w="0" w:type="dxa"/>
            <w:left w:w="0" w:type="dxa"/>
            <w:bottom w:w="0" w:type="dxa"/>
            <w:right w:w="0" w:type="dxa"/>
          </w:tblCellMar>
        </w:tblPrEx>
        <w:trPr>
          <w:trHeight w:val="285" w:hRule="atLeast"/>
        </w:trPr>
        <w:tc>
          <w:tcPr>
            <w:tcW w:w="4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年份</w:t>
            </w:r>
          </w:p>
        </w:tc>
        <w:tc>
          <w:tcPr>
            <w:tcW w:w="24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p>
        </w:tc>
        <w:tc>
          <w:tcPr>
            <w:tcW w:w="328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题目</w:t>
            </w:r>
          </w:p>
        </w:tc>
        <w:tc>
          <w:tcPr>
            <w:tcW w:w="4292"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题目简述</w:t>
            </w:r>
          </w:p>
        </w:tc>
      </w:tr>
      <w:tr>
        <w:tblPrEx>
          <w:shd w:val="clear" w:color="auto" w:fill="auto"/>
          <w:tblLayout w:type="fixed"/>
          <w:tblCellMar>
            <w:top w:w="0" w:type="dxa"/>
            <w:left w:w="0" w:type="dxa"/>
            <w:bottom w:w="0" w:type="dxa"/>
            <w:right w:w="0" w:type="dxa"/>
          </w:tblCellMar>
        </w:tblPrEx>
        <w:trPr>
          <w:trHeight w:val="91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1998</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投资的收益和风险</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市场上面有N种投资，某公司如何投资</w:t>
            </w:r>
          </w:p>
        </w:tc>
      </w:tr>
      <w:tr>
        <w:tblPrEx>
          <w:shd w:val="clear" w:color="auto" w:fill="auto"/>
          <w:tblLayout w:type="fixed"/>
          <w:tblCellMar>
            <w:top w:w="0" w:type="dxa"/>
            <w:left w:w="0" w:type="dxa"/>
            <w:bottom w:w="0" w:type="dxa"/>
            <w:right w:w="0" w:type="dxa"/>
          </w:tblCellMar>
        </w:tblPrEx>
        <w:trPr>
          <w:trHeight w:val="690"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1998</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灾情巡视路线</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某地受灾，给出最佳巡视路线</w:t>
            </w:r>
          </w:p>
        </w:tc>
      </w:tr>
      <w:tr>
        <w:tblPrEx>
          <w:shd w:val="clear" w:color="auto" w:fill="auto"/>
          <w:tblLayout w:type="fixed"/>
          <w:tblCellMar>
            <w:top w:w="0" w:type="dxa"/>
            <w:left w:w="0" w:type="dxa"/>
            <w:bottom w:w="0" w:type="dxa"/>
            <w:right w:w="0" w:type="dxa"/>
          </w:tblCellMar>
        </w:tblPrEx>
        <w:trPr>
          <w:trHeight w:val="690"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1999</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自动化车床管理</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连续加工零件，检查是否出现故障</w:t>
            </w:r>
          </w:p>
        </w:tc>
      </w:tr>
      <w:tr>
        <w:tblPrEx>
          <w:shd w:val="clear" w:color="auto" w:fill="auto"/>
          <w:tblLayout w:type="fixed"/>
          <w:tblCellMar>
            <w:top w:w="0" w:type="dxa"/>
            <w:left w:w="0" w:type="dxa"/>
            <w:bottom w:w="0" w:type="dxa"/>
            <w:right w:w="0" w:type="dxa"/>
          </w:tblCellMar>
        </w:tblPrEx>
        <w:trPr>
          <w:trHeight w:val="1140"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1999</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钻井布局</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勘探部门在某地区找矿，如何则利用旧井就节约费用  </w:t>
            </w:r>
          </w:p>
        </w:tc>
      </w:tr>
      <w:tr>
        <w:tblPrEx>
          <w:shd w:val="clear" w:color="auto" w:fill="auto"/>
          <w:tblLayout w:type="fixed"/>
          <w:tblCellMar>
            <w:top w:w="0" w:type="dxa"/>
            <w:left w:w="0" w:type="dxa"/>
            <w:bottom w:w="0" w:type="dxa"/>
            <w:right w:w="0" w:type="dxa"/>
          </w:tblCellMar>
        </w:tblPrEx>
        <w:trPr>
          <w:trHeight w:val="108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DNA序列分类问题</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此后人类将拥有一本记录着自身生老病死及遗传进化的全部信息的“天书,破译这部世界上最巨量信息的“天书”是二十一世纪最重要的任务之一</w:t>
            </w:r>
          </w:p>
        </w:tc>
      </w:tr>
      <w:tr>
        <w:tblPrEx>
          <w:shd w:val="clear" w:color="auto" w:fill="auto"/>
          <w:tblLayout w:type="fixed"/>
          <w:tblCellMar>
            <w:top w:w="0" w:type="dxa"/>
            <w:left w:w="0" w:type="dxa"/>
            <w:bottom w:w="0" w:type="dxa"/>
            <w:right w:w="0" w:type="dxa"/>
          </w:tblCellMar>
        </w:tblPrEx>
        <w:trPr>
          <w:trHeight w:val="91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钢管订购和运输问题</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铺设一条天然气的主管路，是费用最小、</w:t>
            </w:r>
          </w:p>
        </w:tc>
      </w:tr>
      <w:tr>
        <w:tblPrEx>
          <w:tblLayout w:type="fixed"/>
          <w:tblCellMar>
            <w:top w:w="0" w:type="dxa"/>
            <w:left w:w="0" w:type="dxa"/>
            <w:bottom w:w="0" w:type="dxa"/>
            <w:right w:w="0" w:type="dxa"/>
          </w:tblCellMar>
        </w:tblPrEx>
        <w:trPr>
          <w:trHeight w:val="690"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2001</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血管三维重建</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计算管道的中轴线与半径</w:t>
            </w:r>
          </w:p>
        </w:tc>
      </w:tr>
      <w:tr>
        <w:tblPrEx>
          <w:tblLayout w:type="fixed"/>
          <w:tblCellMar>
            <w:top w:w="0" w:type="dxa"/>
            <w:left w:w="0" w:type="dxa"/>
            <w:bottom w:w="0" w:type="dxa"/>
            <w:right w:w="0" w:type="dxa"/>
          </w:tblCellMar>
        </w:tblPrEx>
        <w:trPr>
          <w:trHeight w:val="915"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2001</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公交车调度</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设计便于操作的全天的公交车调度方案</w:t>
            </w:r>
          </w:p>
        </w:tc>
      </w:tr>
      <w:tr>
        <w:tblPrEx>
          <w:tblLayout w:type="fixed"/>
          <w:tblCellMar>
            <w:top w:w="0" w:type="dxa"/>
            <w:left w:w="0" w:type="dxa"/>
            <w:bottom w:w="0" w:type="dxa"/>
            <w:right w:w="0" w:type="dxa"/>
          </w:tblCellMar>
        </w:tblPrEx>
        <w:trPr>
          <w:trHeight w:val="91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2002</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车灯线光源的优化设计</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在某一设计规范标准下确定线光源的长度</w:t>
            </w:r>
          </w:p>
        </w:tc>
      </w:tr>
      <w:tr>
        <w:tblPrEx>
          <w:shd w:val="clear" w:color="auto" w:fill="auto"/>
          <w:tblLayout w:type="fixed"/>
          <w:tblCellMar>
            <w:top w:w="0" w:type="dxa"/>
            <w:left w:w="0" w:type="dxa"/>
            <w:bottom w:w="0" w:type="dxa"/>
            <w:right w:w="0" w:type="dxa"/>
          </w:tblCellMar>
        </w:tblPrEx>
        <w:trPr>
          <w:trHeight w:val="1406"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2002</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彩票中的数学</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综合分析各种奖项出现的可能性、奖项和奖金额的设置以及对彩民的吸引力等因素评价各方案的合理性；设计一种“更好”的方案及相应的算法</w:t>
            </w:r>
          </w:p>
        </w:tc>
      </w:tr>
      <w:tr>
        <w:tblPrEx>
          <w:tblLayout w:type="fixed"/>
          <w:tblCellMar>
            <w:top w:w="0" w:type="dxa"/>
            <w:left w:w="0" w:type="dxa"/>
            <w:bottom w:w="0" w:type="dxa"/>
            <w:right w:w="0" w:type="dxa"/>
          </w:tblCellMar>
        </w:tblPrEx>
        <w:trPr>
          <w:trHeight w:val="1138"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SARS的传播</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针对附件评价其合理性和实用性；搜集SARS对经济某个方面影响的数据，建立相应的数学模型并进行预测</w:t>
            </w:r>
          </w:p>
        </w:tc>
      </w:tr>
      <w:tr>
        <w:tblPrEx>
          <w:shd w:val="clear" w:color="auto" w:fill="auto"/>
          <w:tblLayout w:type="fixed"/>
          <w:tblCellMar>
            <w:top w:w="0" w:type="dxa"/>
            <w:left w:w="0" w:type="dxa"/>
            <w:bottom w:w="0" w:type="dxa"/>
            <w:right w:w="0" w:type="dxa"/>
          </w:tblCellMar>
        </w:tblPrEx>
        <w:trPr>
          <w:trHeight w:val="823"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2003</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露天矿生产的车辆安排</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针对已给实例，给出具体的生产计划、相应的总运量及岩石和矿石产量。并给出一个班次生产计划的快速算法</w:t>
            </w:r>
          </w:p>
        </w:tc>
      </w:tr>
      <w:tr>
        <w:tblPrEx>
          <w:shd w:val="clear" w:color="auto" w:fill="auto"/>
          <w:tblLayout w:type="fixed"/>
          <w:tblCellMar>
            <w:top w:w="0" w:type="dxa"/>
            <w:left w:w="0" w:type="dxa"/>
            <w:bottom w:w="0" w:type="dxa"/>
            <w:right w:w="0" w:type="dxa"/>
          </w:tblCellMar>
        </w:tblPrEx>
        <w:trPr>
          <w:trHeight w:val="71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2004</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奥运会临时超市网点设计</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根据观众的活动规律设计奥运会临时超市的网点位置</w:t>
            </w:r>
          </w:p>
        </w:tc>
      </w:tr>
      <w:tr>
        <w:tblPrEx>
          <w:shd w:val="clear" w:color="auto" w:fill="auto"/>
          <w:tblLayout w:type="fixed"/>
          <w:tblCellMar>
            <w:top w:w="0" w:type="dxa"/>
            <w:left w:w="0" w:type="dxa"/>
            <w:bottom w:w="0" w:type="dxa"/>
            <w:right w:w="0" w:type="dxa"/>
          </w:tblCellMar>
        </w:tblPrEx>
        <w:trPr>
          <w:trHeight w:val="84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2004</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电力市场的输电阻塞管理</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核心为输电阻塞的电力市场交易与调度一体化管理</w:t>
            </w:r>
          </w:p>
        </w:tc>
      </w:tr>
      <w:tr>
        <w:tblPrEx>
          <w:tblLayout w:type="fixed"/>
          <w:tblCellMar>
            <w:top w:w="0" w:type="dxa"/>
            <w:left w:w="0" w:type="dxa"/>
            <w:bottom w:w="0" w:type="dxa"/>
            <w:right w:w="0" w:type="dxa"/>
          </w:tblCellMar>
        </w:tblPrEx>
        <w:trPr>
          <w:trHeight w:val="887"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2005</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长江水质的评价和预测</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对长江近两年多的水质情况做出定量的综合评价</w:t>
            </w:r>
          </w:p>
        </w:tc>
      </w:tr>
      <w:tr>
        <w:tblPrEx>
          <w:shd w:val="clear" w:color="auto" w:fill="auto"/>
          <w:tblLayout w:type="fixed"/>
          <w:tblCellMar>
            <w:top w:w="0" w:type="dxa"/>
            <w:left w:w="0" w:type="dxa"/>
            <w:bottom w:w="0" w:type="dxa"/>
            <w:right w:w="0" w:type="dxa"/>
          </w:tblCellMar>
        </w:tblPrEx>
        <w:trPr>
          <w:trHeight w:val="297"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2005</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DVD在线租赁</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DVD预测、购买和分配</w:t>
            </w:r>
          </w:p>
        </w:tc>
      </w:tr>
      <w:tr>
        <w:tblPrEx>
          <w:tblLayout w:type="fixed"/>
          <w:tblCellMar>
            <w:top w:w="0" w:type="dxa"/>
            <w:left w:w="0" w:type="dxa"/>
            <w:bottom w:w="0" w:type="dxa"/>
            <w:right w:w="0" w:type="dxa"/>
          </w:tblCellMar>
        </w:tblPrEx>
        <w:trPr>
          <w:trHeight w:val="663"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2006</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出版社的资源配置问题</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合理分配出版社资源达到利润最大化</w:t>
            </w:r>
          </w:p>
        </w:tc>
      </w:tr>
      <w:tr>
        <w:tblPrEx>
          <w:shd w:val="clear" w:color="auto" w:fill="auto"/>
          <w:tblLayout w:type="fixed"/>
          <w:tblCellMar>
            <w:top w:w="0" w:type="dxa"/>
            <w:left w:w="0" w:type="dxa"/>
            <w:bottom w:w="0" w:type="dxa"/>
            <w:right w:w="0" w:type="dxa"/>
          </w:tblCellMar>
        </w:tblPrEx>
        <w:trPr>
          <w:trHeight w:val="46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2006</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Hiv病毒问题</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预测Hiv病毒治疗效果</w:t>
            </w:r>
          </w:p>
        </w:tc>
      </w:tr>
      <w:tr>
        <w:tblPrEx>
          <w:shd w:val="clear" w:color="auto" w:fill="auto"/>
          <w:tblLayout w:type="fixed"/>
          <w:tblCellMar>
            <w:top w:w="0" w:type="dxa"/>
            <w:left w:w="0" w:type="dxa"/>
            <w:bottom w:w="0" w:type="dxa"/>
            <w:right w:w="0" w:type="dxa"/>
          </w:tblCellMar>
        </w:tblPrEx>
        <w:trPr>
          <w:trHeight w:val="690"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2007</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中国人口增长预测</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预测人口增长的中短期和长期趋势</w:t>
            </w:r>
          </w:p>
        </w:tc>
      </w:tr>
      <w:tr>
        <w:tblPrEx>
          <w:shd w:val="clear" w:color="auto" w:fill="auto"/>
          <w:tblLayout w:type="fixed"/>
          <w:tblCellMar>
            <w:top w:w="0" w:type="dxa"/>
            <w:left w:w="0" w:type="dxa"/>
            <w:bottom w:w="0" w:type="dxa"/>
            <w:right w:w="0" w:type="dxa"/>
          </w:tblCellMar>
        </w:tblPrEx>
        <w:trPr>
          <w:trHeight w:val="465"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2007</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乘公交，看奥运</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公交线路选择问题</w:t>
            </w:r>
          </w:p>
        </w:tc>
      </w:tr>
      <w:tr>
        <w:tblPrEx>
          <w:shd w:val="clear" w:color="auto" w:fill="auto"/>
          <w:tblLayout w:type="fixed"/>
          <w:tblCellMar>
            <w:top w:w="0" w:type="dxa"/>
            <w:left w:w="0" w:type="dxa"/>
            <w:bottom w:w="0" w:type="dxa"/>
            <w:right w:w="0" w:type="dxa"/>
          </w:tblCellMar>
        </w:tblPrEx>
        <w:trPr>
          <w:trHeight w:val="70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2008</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数码相机定位</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建立给出两部固定相机相对位置的数学模型和算法</w:t>
            </w:r>
          </w:p>
        </w:tc>
      </w:tr>
      <w:tr>
        <w:tblPrEx>
          <w:shd w:val="clear" w:color="auto" w:fill="auto"/>
          <w:tblLayout w:type="fixed"/>
          <w:tblCellMar>
            <w:top w:w="0" w:type="dxa"/>
            <w:left w:w="0" w:type="dxa"/>
            <w:bottom w:w="0" w:type="dxa"/>
            <w:right w:w="0" w:type="dxa"/>
          </w:tblCellMar>
        </w:tblPrEx>
        <w:trPr>
          <w:trHeight w:val="608"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2008</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高等教育学费标准探讨</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对几类学校或专业的学费标准定量分析</w:t>
            </w:r>
          </w:p>
        </w:tc>
      </w:tr>
      <w:tr>
        <w:tblPrEx>
          <w:shd w:val="clear" w:color="auto" w:fill="auto"/>
          <w:tblLayout w:type="fixed"/>
          <w:tblCellMar>
            <w:top w:w="0" w:type="dxa"/>
            <w:left w:w="0" w:type="dxa"/>
            <w:bottom w:w="0" w:type="dxa"/>
            <w:right w:w="0" w:type="dxa"/>
          </w:tblCellMar>
        </w:tblPrEx>
        <w:trPr>
          <w:trHeight w:val="690"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制动器试验台的控制方法分析</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电动机驱动电流的计算机控制方法</w:t>
            </w:r>
          </w:p>
        </w:tc>
      </w:tr>
      <w:tr>
        <w:tblPrEx>
          <w:shd w:val="clear" w:color="auto" w:fill="auto"/>
          <w:tblLayout w:type="fixed"/>
          <w:tblCellMar>
            <w:top w:w="0" w:type="dxa"/>
            <w:left w:w="0" w:type="dxa"/>
            <w:bottom w:w="0" w:type="dxa"/>
            <w:right w:w="0" w:type="dxa"/>
          </w:tblCellMar>
        </w:tblPrEx>
        <w:trPr>
          <w:trHeight w:val="690"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2009</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眼科病床的合理安排</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评价病床安排模型的优劣</w:t>
            </w:r>
          </w:p>
        </w:tc>
      </w:tr>
      <w:tr>
        <w:tblPrEx>
          <w:tblLayout w:type="fixed"/>
          <w:tblCellMar>
            <w:top w:w="0" w:type="dxa"/>
            <w:left w:w="0" w:type="dxa"/>
            <w:bottom w:w="0" w:type="dxa"/>
            <w:right w:w="0" w:type="dxa"/>
          </w:tblCellMar>
        </w:tblPrEx>
        <w:trPr>
          <w:trHeight w:val="577"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储油罐的变位识别与罐容表标定</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储油罐的变位识别与罐容表标定方法</w:t>
            </w:r>
          </w:p>
        </w:tc>
      </w:tr>
      <w:tr>
        <w:tblPrEx>
          <w:shd w:val="clear" w:color="auto" w:fill="auto"/>
          <w:tblLayout w:type="fixed"/>
          <w:tblCellMar>
            <w:top w:w="0" w:type="dxa"/>
            <w:left w:w="0" w:type="dxa"/>
            <w:bottom w:w="0" w:type="dxa"/>
            <w:right w:w="0" w:type="dxa"/>
          </w:tblCellMar>
        </w:tblPrEx>
        <w:trPr>
          <w:trHeight w:val="663"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2010年上海世博会影响力的定量评估</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定量评估2010年上海世博会的影响力。</w:t>
            </w:r>
          </w:p>
        </w:tc>
      </w:tr>
      <w:tr>
        <w:tblPrEx>
          <w:shd w:val="clear" w:color="auto" w:fill="auto"/>
          <w:tblLayout w:type="fixed"/>
          <w:tblCellMar>
            <w:top w:w="0" w:type="dxa"/>
            <w:left w:w="0" w:type="dxa"/>
            <w:bottom w:w="0" w:type="dxa"/>
            <w:right w:w="0" w:type="dxa"/>
          </w:tblCellMar>
        </w:tblPrEx>
        <w:trPr>
          <w:trHeight w:val="690"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城市表层土壤重金属污染分析</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城市表层土壤重金属污染分析</w:t>
            </w:r>
          </w:p>
        </w:tc>
      </w:tr>
      <w:tr>
        <w:tblPrEx>
          <w:shd w:val="clear" w:color="auto" w:fill="auto"/>
          <w:tblLayout w:type="fixed"/>
          <w:tblCellMar>
            <w:top w:w="0" w:type="dxa"/>
            <w:left w:w="0" w:type="dxa"/>
            <w:bottom w:w="0" w:type="dxa"/>
            <w:right w:w="0" w:type="dxa"/>
          </w:tblCellMar>
        </w:tblPrEx>
        <w:trPr>
          <w:trHeight w:val="690"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交巡警服务平台的设置与调度</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巡警服务平台警力合理的调度方案</w:t>
            </w:r>
          </w:p>
        </w:tc>
      </w:tr>
      <w:tr>
        <w:tblPrEx>
          <w:shd w:val="clear" w:color="auto" w:fill="auto"/>
          <w:tblLayout w:type="fixed"/>
          <w:tblCellMar>
            <w:top w:w="0" w:type="dxa"/>
            <w:left w:w="0" w:type="dxa"/>
            <w:bottom w:w="0" w:type="dxa"/>
            <w:right w:w="0" w:type="dxa"/>
          </w:tblCellMar>
        </w:tblPrEx>
        <w:trPr>
          <w:trHeight w:val="46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葡萄酒的评价</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对葡萄酒质量的判别</w:t>
            </w:r>
          </w:p>
        </w:tc>
      </w:tr>
      <w:tr>
        <w:tblPrEx>
          <w:tblLayout w:type="fixed"/>
          <w:tblCellMar>
            <w:top w:w="0" w:type="dxa"/>
            <w:left w:w="0" w:type="dxa"/>
            <w:bottom w:w="0" w:type="dxa"/>
            <w:right w:w="0" w:type="dxa"/>
          </w:tblCellMar>
        </w:tblPrEx>
        <w:trPr>
          <w:trHeight w:val="46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太阳能小屋的设计</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光伏电池的优化铺设</w:t>
            </w:r>
          </w:p>
        </w:tc>
      </w:tr>
      <w:tr>
        <w:tblPrEx>
          <w:tblLayout w:type="fixed"/>
          <w:tblCellMar>
            <w:top w:w="0" w:type="dxa"/>
            <w:left w:w="0" w:type="dxa"/>
            <w:bottom w:w="0" w:type="dxa"/>
            <w:right w:w="0" w:type="dxa"/>
          </w:tblCellMar>
        </w:tblPrEx>
        <w:trPr>
          <w:trHeight w:val="1059"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车道被占用对城市道路通行能力的影响问题</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描述视频中交通事故发生至撤离期间,事故所处横断面实际通行能力的变化过程</w:t>
            </w:r>
          </w:p>
        </w:tc>
      </w:tr>
      <w:tr>
        <w:tblPrEx>
          <w:shd w:val="clear" w:color="auto" w:fill="auto"/>
          <w:tblLayout w:type="fixed"/>
          <w:tblCellMar>
            <w:top w:w="0" w:type="dxa"/>
            <w:left w:w="0" w:type="dxa"/>
            <w:bottom w:w="0" w:type="dxa"/>
            <w:right w:w="0" w:type="dxa"/>
          </w:tblCellMar>
        </w:tblPrEx>
        <w:trPr>
          <w:trHeight w:val="690"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2013</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碎纸片拼接复原问题</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建立碎纸片拼接复原模型和算法</w:t>
            </w:r>
          </w:p>
        </w:tc>
      </w:tr>
      <w:tr>
        <w:tblPrEx>
          <w:shd w:val="clear" w:color="auto" w:fill="auto"/>
          <w:tblLayout w:type="fixed"/>
          <w:tblCellMar>
            <w:top w:w="0" w:type="dxa"/>
            <w:left w:w="0" w:type="dxa"/>
            <w:bottom w:w="0" w:type="dxa"/>
            <w:right w:w="0" w:type="dxa"/>
          </w:tblCellMar>
        </w:tblPrEx>
        <w:trPr>
          <w:trHeight w:val="1140"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2014</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嫦娥三号软着陆轨道设计与控制策略</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确定嫦娥三号的着陆轨道和在6个阶段的最优控制策略。</w:t>
            </w:r>
          </w:p>
        </w:tc>
      </w:tr>
      <w:tr>
        <w:tblPrEx>
          <w:shd w:val="clear" w:color="auto" w:fill="auto"/>
          <w:tblLayout w:type="fixed"/>
          <w:tblCellMar>
            <w:top w:w="0" w:type="dxa"/>
            <w:left w:w="0" w:type="dxa"/>
            <w:bottom w:w="0" w:type="dxa"/>
            <w:right w:w="0" w:type="dxa"/>
          </w:tblCellMar>
        </w:tblPrEx>
        <w:trPr>
          <w:trHeight w:val="465" w:hRule="atLeast"/>
        </w:trPr>
        <w:tc>
          <w:tcPr>
            <w:tcW w:w="49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2014</w:t>
            </w:r>
          </w:p>
        </w:tc>
        <w:tc>
          <w:tcPr>
            <w:tcW w:w="24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创意平板折叠桌</w:t>
            </w:r>
          </w:p>
        </w:tc>
        <w:tc>
          <w:tcPr>
            <w:tcW w:w="429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折叠桌数学描述及设计</w:t>
            </w:r>
          </w:p>
        </w:tc>
      </w:tr>
      <w:tr>
        <w:tblPrEx>
          <w:tblLayout w:type="fixed"/>
          <w:tblCellMar>
            <w:top w:w="0" w:type="dxa"/>
            <w:left w:w="0" w:type="dxa"/>
            <w:bottom w:w="0" w:type="dxa"/>
            <w:right w:w="0" w:type="dxa"/>
          </w:tblCellMar>
        </w:tblPrEx>
        <w:trPr>
          <w:trHeight w:val="866"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2015</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太阳影子定位</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分析视频中物体的太阳影子变化，确定视频拍摄的地点和日期</w:t>
            </w:r>
          </w:p>
        </w:tc>
      </w:tr>
      <w:tr>
        <w:tblPrEx>
          <w:tblLayout w:type="fixed"/>
          <w:tblCellMar>
            <w:top w:w="0" w:type="dxa"/>
            <w:left w:w="0" w:type="dxa"/>
            <w:bottom w:w="0" w:type="dxa"/>
            <w:right w:w="0" w:type="dxa"/>
          </w:tblCellMar>
        </w:tblPrEx>
        <w:trPr>
          <w:trHeight w:val="1143" w:hRule="atLeast"/>
        </w:trPr>
        <w:tc>
          <w:tcPr>
            <w:tcW w:w="498" w:type="dxa"/>
            <w:tcBorders>
              <w:top w:val="nil"/>
              <w:left w:val="single" w:color="000000" w:sz="8" w:space="0"/>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2015</w:t>
            </w:r>
          </w:p>
        </w:tc>
        <w:tc>
          <w:tcPr>
            <w:tcW w:w="240"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285"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“互联网+”时代的出租车资源配置</w:t>
            </w:r>
          </w:p>
        </w:tc>
        <w:tc>
          <w:tcPr>
            <w:tcW w:w="4292" w:type="dxa"/>
            <w:tcBorders>
              <w:top w:val="nil"/>
              <w:left w:val="nil"/>
              <w:bottom w:val="single" w:color="000000" w:sz="8" w:space="0"/>
              <w:right w:val="single" w:color="000000" w:sz="8" w:space="0"/>
            </w:tcBorders>
            <w:shd w:val="clear" w:color="auto" w:fill="D9D9D9"/>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分析不同时空出租车资源的“供求匹配”程度，设计补贴方案并论证合理性</w:t>
            </w:r>
          </w:p>
        </w:tc>
      </w:tr>
    </w:tbl>
    <w:p>
      <w:pPr>
        <w:rPr>
          <w:rFonts w:eastAsia="宋体"/>
        </w:rPr>
      </w:pPr>
    </w:p>
    <w:p>
      <w:pPr>
        <w:rPr>
          <w:rFonts w:eastAsia="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2B84"/>
    <w:multiLevelType w:val="singleLevel"/>
    <w:tmpl w:val="1A9C2B84"/>
    <w:lvl w:ilvl="0" w:tentative="0">
      <w:start w:val="2"/>
      <w:numFmt w:val="chineseCounting"/>
      <w:suff w:val="nothing"/>
      <w:lvlText w:val="%1、"/>
      <w:lvlJc w:val="left"/>
      <w:rPr>
        <w:rFonts w:hint="eastAsia"/>
      </w:rPr>
    </w:lvl>
  </w:abstractNum>
  <w:abstractNum w:abstractNumId="1">
    <w:nsid w:val="2973E25C"/>
    <w:multiLevelType w:val="singleLevel"/>
    <w:tmpl w:val="2973E25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B2"/>
    <w:rsid w:val="00387C46"/>
    <w:rsid w:val="003C06CE"/>
    <w:rsid w:val="00BD52B2"/>
    <w:rsid w:val="15F26087"/>
    <w:rsid w:val="308765B7"/>
    <w:rsid w:val="50BB2EAB"/>
    <w:rsid w:val="6F7C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6"/>
    <w:qFormat/>
    <w:uiPriority w:val="0"/>
    <w:pPr>
      <w:adjustRightInd w:val="0"/>
      <w:spacing w:line="312" w:lineRule="atLeast"/>
      <w:textAlignment w:val="baseline"/>
    </w:pPr>
    <w:rPr>
      <w:rFonts w:ascii="宋体" w:hAnsi="Courier New" w:eastAsia="宋体" w:cs="Times New Roman"/>
      <w:kern w:val="0"/>
      <w:szCs w:val="20"/>
    </w:rPr>
  </w:style>
  <w:style w:type="character" w:styleId="5">
    <w:name w:val="Hyperlink"/>
    <w:basedOn w:val="4"/>
    <w:semiHidden/>
    <w:unhideWhenUsed/>
    <w:uiPriority w:val="99"/>
    <w:rPr>
      <w:color w:val="0000FF"/>
      <w:u w:val="single"/>
    </w:rPr>
  </w:style>
  <w:style w:type="character" w:customStyle="1" w:styleId="6">
    <w:name w:val="纯文本 Char"/>
    <w:basedOn w:val="4"/>
    <w:link w:val="2"/>
    <w:qFormat/>
    <w:uiPriority w:val="0"/>
    <w:rPr>
      <w:rFonts w:ascii="宋体" w:hAnsi="Courier New" w:eastAsia="宋体" w:cs="Times New Roman"/>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161</Words>
  <Characters>918</Characters>
  <Lines>7</Lines>
  <Paragraphs>2</Paragraphs>
  <TotalTime>230</TotalTime>
  <ScaleCrop>false</ScaleCrop>
  <LinksUpToDate>false</LinksUpToDate>
  <CharactersWithSpaces>1077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2018-03-13T10:03:00Z</dcterms:created>
  <dc:creator>Windows 用户</dc:creator>
  <cp:lastModifiedBy>星天</cp:lastModifiedBy>
  <dcterms:modified xsi:type="dcterms:W3CDTF">2019-03-28T08:10:24Z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